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6F80" w14:textId="7EE443BF" w:rsidR="00B511CB" w:rsidRPr="007E1E76" w:rsidRDefault="00B511CB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1E76">
        <w:rPr>
          <w:rFonts w:ascii="Times New Roman" w:hAnsi="Times New Roman" w:cs="Times New Roman"/>
          <w:noProof/>
          <w:lang w:eastAsia="pl-PL" w:bidi="ar-SA"/>
        </w:rPr>
        <w:drawing>
          <wp:inline distT="0" distB="0" distL="0" distR="0" wp14:anchorId="1607E37C" wp14:editId="47AED181">
            <wp:extent cx="5676900" cy="619125"/>
            <wp:effectExtent l="0" t="0" r="0" b="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BE75B6" w14:textId="77777777" w:rsidR="00B511CB" w:rsidRPr="007E1E76" w:rsidRDefault="00B511CB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3D6968C" w14:textId="4FC3478B" w:rsidR="00B511CB" w:rsidRPr="007E1E76" w:rsidRDefault="00B511CB" w:rsidP="00B57C97">
      <w:pPr>
        <w:tabs>
          <w:tab w:val="left" w:pos="7950"/>
        </w:tabs>
        <w:rPr>
          <w:rFonts w:ascii="Times New Roman" w:hAnsi="Times New Roman" w:cs="Times New Roman"/>
          <w:b/>
        </w:rPr>
      </w:pPr>
      <w:r w:rsidRPr="007E1E76">
        <w:rPr>
          <w:rFonts w:ascii="Times New Roman" w:hAnsi="Times New Roman" w:cs="Times New Roman"/>
          <w:b/>
        </w:rPr>
        <w:t xml:space="preserve">Załącznik nr 1B- ZAKRES NR </w:t>
      </w:r>
      <w:r w:rsidR="00B62EA0">
        <w:rPr>
          <w:rFonts w:ascii="Times New Roman" w:hAnsi="Times New Roman" w:cs="Times New Roman"/>
          <w:b/>
        </w:rPr>
        <w:t xml:space="preserve">20 - </w:t>
      </w:r>
      <w:proofErr w:type="spellStart"/>
      <w:r w:rsidRPr="007E1E76">
        <w:rPr>
          <w:rFonts w:ascii="Times New Roman" w:hAnsi="Times New Roman" w:cs="Times New Roman"/>
          <w:b/>
        </w:rPr>
        <w:t>Neuromonitoring</w:t>
      </w:r>
      <w:proofErr w:type="spellEnd"/>
      <w:r w:rsidRPr="007E1E76">
        <w:rPr>
          <w:rFonts w:ascii="Times New Roman" w:hAnsi="Times New Roman" w:cs="Times New Roman"/>
          <w:b/>
        </w:rPr>
        <w:t xml:space="preserve"> do tarczycy</w:t>
      </w:r>
      <w:r w:rsidR="00352C65" w:rsidRPr="007E1E76">
        <w:rPr>
          <w:rFonts w:ascii="Times New Roman" w:hAnsi="Times New Roman" w:cs="Times New Roman"/>
          <w:b/>
        </w:rPr>
        <w:t xml:space="preserve"> 1 szt.</w:t>
      </w:r>
      <w:r w:rsidR="00B57C97">
        <w:rPr>
          <w:rFonts w:ascii="Times New Roman" w:hAnsi="Times New Roman" w:cs="Times New Roman"/>
          <w:b/>
        </w:rPr>
        <w:t xml:space="preserve"> - Blok Operacyjny</w:t>
      </w:r>
    </w:p>
    <w:p w14:paraId="4A5A52EC" w14:textId="77777777" w:rsidR="00B511CB" w:rsidRPr="007E1E76" w:rsidRDefault="00B511CB" w:rsidP="00B511CB">
      <w:pPr>
        <w:rPr>
          <w:rFonts w:ascii="Times New Roman" w:hAnsi="Times New Roman" w:cs="Times New Roman"/>
        </w:rPr>
      </w:pPr>
    </w:p>
    <w:p w14:paraId="632DE016" w14:textId="77777777" w:rsidR="00B511CB" w:rsidRPr="007E1E76" w:rsidRDefault="00B511CB" w:rsidP="00B511CB">
      <w:pPr>
        <w:rPr>
          <w:rFonts w:ascii="Times New Roman" w:hAnsi="Times New Roman" w:cs="Times New Roman"/>
          <w:b/>
          <w:i/>
          <w:u w:val="single"/>
        </w:rPr>
      </w:pPr>
      <w:r w:rsidRPr="007E1E76">
        <w:rPr>
          <w:rFonts w:ascii="Times New Roman" w:hAnsi="Times New Roman" w:cs="Times New Roman"/>
          <w:b/>
          <w:i/>
          <w:u w:val="single"/>
        </w:rPr>
        <w:t>ZESTAWIENIE PARAMETRÓW I WARUNKÓW WYMAGANYCH / OCENIANYCH</w:t>
      </w:r>
    </w:p>
    <w:p w14:paraId="0EEAB9E3" w14:textId="4A44B161" w:rsidR="000162F1" w:rsidRPr="007E1E76" w:rsidRDefault="006F177E">
      <w:pPr>
        <w:pStyle w:val="Standard"/>
        <w:rPr>
          <w:rFonts w:ascii="Times New Roman" w:hAnsi="Times New Roman" w:cs="Times New Roman"/>
        </w:rPr>
      </w:pPr>
      <w:r w:rsidRPr="007E1E7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DE9EBAA" w14:textId="77777777" w:rsidR="000162F1" w:rsidRPr="007E1E76" w:rsidRDefault="000162F1">
      <w:pPr>
        <w:pStyle w:val="Standard"/>
        <w:rPr>
          <w:rFonts w:ascii="Times New Roman" w:hAnsi="Times New Roman" w:cs="Times New Roman"/>
          <w:color w:val="FF3333"/>
          <w:sz w:val="12"/>
          <w:szCs w:val="12"/>
        </w:rPr>
      </w:pPr>
    </w:p>
    <w:tbl>
      <w:tblPr>
        <w:tblW w:w="13982" w:type="dxa"/>
        <w:tblInd w:w="-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"/>
        <w:gridCol w:w="5804"/>
        <w:gridCol w:w="1692"/>
        <w:gridCol w:w="2387"/>
        <w:gridCol w:w="3544"/>
      </w:tblGrid>
      <w:tr w:rsidR="00352C65" w:rsidRPr="007E1E76" w14:paraId="4F49A30C" w14:textId="385F24EA" w:rsidTr="00352C65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202CD6B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7E1E76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Lp.</w:t>
            </w:r>
          </w:p>
        </w:tc>
        <w:tc>
          <w:tcPr>
            <w:tcW w:w="5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08F7AF4" w14:textId="0065A7A3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7E1E76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Nazwa/ opis parametru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B63F2AD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7E1E76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Parametr wymagany ( graniczny ) </w:t>
            </w:r>
          </w:p>
          <w:p w14:paraId="28956941" w14:textId="2461CDFC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7E1E76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i/ lub oceniany</w:t>
            </w:r>
          </w:p>
        </w:tc>
        <w:tc>
          <w:tcPr>
            <w:tcW w:w="2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6F3BA95" w14:textId="52811B6B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7E1E76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Parametr oferowany wpisuje Wykonawca ( w miejscach oznaczonych (*) podać numer strony katalogu z potwierdzeniem zaoferowanego parametru)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51800A5" w14:textId="493AC9B2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7E1E76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Zasady oceny</w:t>
            </w:r>
          </w:p>
        </w:tc>
      </w:tr>
      <w:tr w:rsidR="00352C65" w:rsidRPr="007E1E76" w14:paraId="6B4E5D53" w14:textId="77777777" w:rsidTr="007460B8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B33F65D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42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C66EBDB" w14:textId="77777777" w:rsidR="00352C65" w:rsidRPr="007E1E76" w:rsidRDefault="00352C65" w:rsidP="00B62EA0">
            <w:pPr>
              <w:pStyle w:val="Standard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7E1E76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Zestaw do wielospecjalistycznego, śródoperacyjnego monitorowania nerwów. Aparat mający zastosowanie w chirurgii onkologicznej - kolorowy dotykowy ekran LCD min. 12", 4-kanałowy System EMG do monitorowania nerwów ruchowych, dwa zintegrowane stymulatory stałoprądowe o szerokich zakresach nastaw stymulacyjnych (natężenie prądu do 25mA /szerokość do 2000us/częstotliwość do 30Hz).</w:t>
            </w:r>
          </w:p>
          <w:p w14:paraId="4273B0B1" w14:textId="7373170F" w:rsidR="00352C65" w:rsidRPr="007E1E76" w:rsidRDefault="00352C65" w:rsidP="00B62EA0">
            <w:pPr>
              <w:pStyle w:val="Standard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7E1E76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Aparat mający zastosowanie w zakresie neurochirurgii stacja bazowa jezdna, zawierająca komputer sterujący - pamięć RAM 8GB, dysk twardy 1000GB porty LAN, USB, COM, monitor LCD 24", głowica wzmacniaczy 32 kanały, stałoprądowy stymulator elektryczny.</w:t>
            </w:r>
          </w:p>
        </w:tc>
      </w:tr>
      <w:tr w:rsidR="00352C65" w:rsidRPr="007E1E76" w14:paraId="35FBEBB7" w14:textId="74DD9966" w:rsidTr="00352C65">
        <w:trPr>
          <w:trHeight w:val="6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700D0AF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552B4CC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Aparat służący do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neuromonitoringu</w:t>
            </w:r>
            <w:proofErr w:type="spellEnd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nerwów czaszkowych w chirurgii endokrynologicznej i laryngologicznej z możliwością rozszerzenia o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neuromonitoring</w:t>
            </w:r>
            <w:proofErr w:type="spellEnd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 chirurgii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kolorektalnej</w:t>
            </w:r>
            <w:proofErr w:type="spellEnd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0EECD2D" w14:textId="19B35ED7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44213BC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A7CB24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  <w:p w14:paraId="202914FF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  <w:p w14:paraId="7452C7A0" w14:textId="3296DCF7" w:rsidR="00352C65" w:rsidRPr="007E1E76" w:rsidRDefault="00352C65" w:rsidP="00352C65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0AEF3B30" w14:textId="26C142C8" w:rsidTr="00352C65">
        <w:trPr>
          <w:trHeight w:val="6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C8E8BD9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397B86F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Intuicyjny interfejs pacjenta z gniazdami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touchproof</w:t>
            </w:r>
            <w:proofErr w:type="spellEnd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do podłączenia elektrod w chirurgii endokrynologicznej i laryngologicznej, wielorazowy,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nieautoklawowalny</w:t>
            </w:r>
            <w:proofErr w:type="spellEnd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przewód o dł. min 4,5m – 1 sztuka 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E8B416F" w14:textId="2C797108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F5A0144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62DC98C" w14:textId="77777777" w:rsidR="004C553F" w:rsidRPr="007E1E76" w:rsidRDefault="004C553F">
            <w:pPr>
              <w:pStyle w:val="Standard"/>
              <w:rPr>
                <w:rFonts w:ascii="Times New Roman" w:hAnsi="Times New Roman" w:cs="Times New Roman"/>
              </w:rPr>
            </w:pPr>
          </w:p>
          <w:p w14:paraId="5F2BBDA8" w14:textId="41DB47A4" w:rsidR="00352C65" w:rsidRPr="007E1E76" w:rsidRDefault="00352C65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0C082C14" w14:textId="2C17CF6B" w:rsidTr="00352C65">
        <w:trPr>
          <w:trHeight w:val="6"/>
        </w:trPr>
        <w:tc>
          <w:tcPr>
            <w:tcW w:w="55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6BE5DBB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3..</w:t>
            </w:r>
          </w:p>
        </w:tc>
        <w:tc>
          <w:tcPr>
            <w:tcW w:w="580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01E98BE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Interfejs pacjenta, służący do podłączenia elektrod odbiorczych i stymulacyjnych z możliwością zawieszenia na szynie stołu operacyjnego. Podłączenie elektrod do </w:t>
            </w: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interfejsu pacjenta bez konieczności bezpośredniego łączenia elektrod z monitorem.</w:t>
            </w:r>
          </w:p>
        </w:tc>
        <w:tc>
          <w:tcPr>
            <w:tcW w:w="169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0D66147" w14:textId="672EAD6E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38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B5EB9BC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7CF93D" w14:textId="7599CBE9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48E7E036" w14:textId="5D7269EE" w:rsidTr="00352C65">
        <w:trPr>
          <w:trHeight w:val="6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08FB962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4C7AE55" w14:textId="7D114D0A" w:rsidR="00352C65" w:rsidRPr="007E1E76" w:rsidRDefault="00352C65" w:rsidP="004C553F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Monitor wyposażony w min. </w:t>
            </w:r>
            <w:r w:rsidR="004C553F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kanał</w:t>
            </w:r>
            <w:r w:rsidR="004C553F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robocz</w:t>
            </w:r>
            <w:r w:rsidR="004C553F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B77C287" w14:textId="7D732929" w:rsidR="00352C65" w:rsidRPr="007E1E76" w:rsidRDefault="00551669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  <w:r w:rsidR="00352C65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podać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C6E921A" w14:textId="7733A1A9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56C853" w14:textId="7F01E95C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 xml:space="preserve">4 kanały – 0 pkt,               </w:t>
            </w:r>
            <w:r w:rsidRPr="007E1E76">
              <w:rPr>
                <w:rFonts w:ascii="Times New Roman" w:hAnsi="Times New Roman" w:cs="Times New Roman"/>
              </w:rPr>
              <w:br/>
              <w:t xml:space="preserve">5-7 kanałów – 5 pkt,             </w:t>
            </w:r>
            <w:r w:rsidRPr="007E1E76">
              <w:rPr>
                <w:rFonts w:ascii="Times New Roman" w:hAnsi="Times New Roman" w:cs="Times New Roman"/>
              </w:rPr>
              <w:br/>
              <w:t xml:space="preserve">8 – 10 kanałów </w:t>
            </w:r>
            <w:r w:rsidR="009F56D4" w:rsidRPr="007E1E76">
              <w:rPr>
                <w:rFonts w:ascii="Times New Roman" w:hAnsi="Times New Roman" w:cs="Times New Roman"/>
              </w:rPr>
              <w:t xml:space="preserve">10 </w:t>
            </w:r>
            <w:r w:rsidRPr="007E1E76">
              <w:rPr>
                <w:rFonts w:ascii="Times New Roman" w:hAnsi="Times New Roman" w:cs="Times New Roman"/>
              </w:rPr>
              <w:t>pkt</w:t>
            </w:r>
          </w:p>
        </w:tc>
      </w:tr>
      <w:tr w:rsidR="00352C65" w:rsidRPr="007E1E76" w14:paraId="7A0F5B40" w14:textId="614FCB1A" w:rsidTr="00352C65">
        <w:trPr>
          <w:trHeight w:val="6"/>
        </w:trPr>
        <w:tc>
          <w:tcPr>
            <w:tcW w:w="55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2915F9F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80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E0E0EBC" w14:textId="66BEA2F0" w:rsidR="00352C65" w:rsidRPr="007E1E76" w:rsidRDefault="00352C65" w:rsidP="005525EC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Urządzenie wyposażone w min. 2 stymulatory stałoprądowe z zakresem stymulacji od min. 0,01 do 25mA. Zakres regulacji częstotliwości impulsów min. od 1 do 60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Hz</w:t>
            </w:r>
            <w:proofErr w:type="spellEnd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skok co 1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Hz</w:t>
            </w:r>
            <w:proofErr w:type="spellEnd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do wybor</w:t>
            </w:r>
            <w:r w:rsidR="00552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przy pomocy oprogramowania. </w:t>
            </w:r>
          </w:p>
        </w:tc>
        <w:tc>
          <w:tcPr>
            <w:tcW w:w="169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C581014" w14:textId="60C39A67" w:rsidR="00352C65" w:rsidRPr="007E1E76" w:rsidRDefault="00551669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  <w:r w:rsidR="00352C65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podać</w:t>
            </w:r>
          </w:p>
        </w:tc>
        <w:tc>
          <w:tcPr>
            <w:tcW w:w="238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96D8835" w14:textId="7FC304B3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35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1B35B2" w14:textId="77777777" w:rsidR="004C553F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</w:p>
          <w:p w14:paraId="4D2F9211" w14:textId="0DEB1898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standardowy zakres – 0 pkt, rozszerzony zakres – 5 pkt</w:t>
            </w:r>
          </w:p>
        </w:tc>
      </w:tr>
      <w:tr w:rsidR="00352C65" w:rsidRPr="007E1E76" w14:paraId="794D1FA5" w14:textId="3503660D" w:rsidTr="00352C65">
        <w:trPr>
          <w:trHeight w:val="6"/>
        </w:trPr>
        <w:tc>
          <w:tcPr>
            <w:tcW w:w="55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A2CAC26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80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ED4F80F" w14:textId="3DAEB931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Urządzenie posiadające kolory ekran LCD min. 12 cali max. 14 cali,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multidotykowy</w:t>
            </w:r>
            <w:proofErr w:type="spellEnd"/>
          </w:p>
        </w:tc>
        <w:tc>
          <w:tcPr>
            <w:tcW w:w="169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B3D3184" w14:textId="2845884D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5A1552A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6ECC53" w14:textId="684090D5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2BA66586" w14:textId="5BA1708E" w:rsidTr="00352C65">
        <w:trPr>
          <w:trHeight w:val="6"/>
        </w:trPr>
        <w:tc>
          <w:tcPr>
            <w:tcW w:w="55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EC3F2A8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80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E40D84B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Procedury zdefiniowane dla różnych specjalności, nie wymagające nanoszenia zmian w ustawionych parametrach. Możliwość stworzenia nowych; indywidualnych procedur według potrzeb użytkownika.</w:t>
            </w:r>
          </w:p>
        </w:tc>
        <w:tc>
          <w:tcPr>
            <w:tcW w:w="169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8B69719" w14:textId="785E99EB" w:rsidR="00352C65" w:rsidRPr="007E1E76" w:rsidRDefault="00551669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  <w:r w:rsidR="00352C65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podać</w:t>
            </w:r>
          </w:p>
        </w:tc>
        <w:tc>
          <w:tcPr>
            <w:tcW w:w="238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FCFA2D4" w14:textId="428B7EE5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35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67E0B5" w14:textId="541CC42D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tylko fabryczne – 0 pkt,</w:t>
            </w:r>
            <w:r w:rsidRPr="007E1E76">
              <w:rPr>
                <w:rFonts w:ascii="Times New Roman" w:hAnsi="Times New Roman" w:cs="Times New Roman"/>
              </w:rPr>
              <w:br/>
              <w:t xml:space="preserve"> możliwość tworzenia własnych – 5 pkt</w:t>
            </w:r>
          </w:p>
        </w:tc>
      </w:tr>
      <w:tr w:rsidR="00352C65" w:rsidRPr="007E1E76" w14:paraId="50053DE3" w14:textId="3B2479E3" w:rsidTr="00352C65">
        <w:trPr>
          <w:trHeight w:val="6"/>
        </w:trPr>
        <w:tc>
          <w:tcPr>
            <w:tcW w:w="55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9919C99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80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2316808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Regulacja stymulacją przy pomocy pokrętła nawigacyjnego oraz panelu dotykowego</w:t>
            </w:r>
          </w:p>
        </w:tc>
        <w:tc>
          <w:tcPr>
            <w:tcW w:w="169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C70DB90" w14:textId="255C45F2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0A4094B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64D628" w14:textId="2D303ED9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7277DDDB" w14:textId="14786419" w:rsidTr="00352C65">
        <w:trPr>
          <w:trHeight w:val="6"/>
        </w:trPr>
        <w:tc>
          <w:tcPr>
            <w:tcW w:w="55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4241DC8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80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8976636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Automatyczna kontrola elektrod potwierdzająca ich integralność, prezentacja kontroli na ekranie monitora. Alarm o nieprawidłowym połączeniu elektrody lub jej wypięciu – min. wizualny lub dźwiękowy</w:t>
            </w:r>
          </w:p>
        </w:tc>
        <w:tc>
          <w:tcPr>
            <w:tcW w:w="169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338F677" w14:textId="3C02E126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B540CB2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A4C2F6" w14:textId="019D0093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7ADF981E" w14:textId="70D83F54" w:rsidTr="00352C65">
        <w:trPr>
          <w:trHeight w:val="6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B87088D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65FFBF1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Obrazowanie potencjałów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wolnobiegnących</w:t>
            </w:r>
            <w:proofErr w:type="spellEnd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wywołanych EMG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B5103A0" w14:textId="4E4B5A78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E04D801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026783" w14:textId="23EA0025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0A510D0E" w14:textId="7E49D8F0" w:rsidTr="00352C65">
        <w:trPr>
          <w:trHeight w:val="6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EDBBD78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F00871F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Potencjały wywołane EMG zapisywane automatycznie do pamięci wewnętrznej aparatu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24CAB12" w14:textId="47B5F413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24BA049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1472E9" w14:textId="63145266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6DDB7DDB" w14:textId="15893B13" w:rsidTr="00352C65">
        <w:trPr>
          <w:trHeight w:val="6"/>
        </w:trPr>
        <w:tc>
          <w:tcPr>
            <w:tcW w:w="555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26E8137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804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45FFE7C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Komentarze w języku polskim odpowiedzi wywołanej EMG wprowadzane w momencie uzyskania lub dowolnym późniejszym</w:t>
            </w:r>
          </w:p>
        </w:tc>
        <w:tc>
          <w:tcPr>
            <w:tcW w:w="1692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1B2BD47" w14:textId="65764104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1142BA7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4CAC0711" w14:textId="1DA9ED6C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36C6B86A" w14:textId="7E97F5BB" w:rsidTr="00352C65">
        <w:trPr>
          <w:trHeight w:hRule="exact" w:val="601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87832BF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63F8A59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Menu obsługi w języku polskim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EAB64AD" w14:textId="662D700B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04233B6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26BB0FFB" w14:textId="1B05FDF6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0C31233D" w14:textId="7160CC33" w:rsidTr="00352C65">
        <w:trPr>
          <w:trHeight w:val="6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09D988C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8F1E4C3" w14:textId="77777777" w:rsidR="00352C65" w:rsidRPr="007E1E76" w:rsidRDefault="00352C65">
            <w:pPr>
              <w:pStyle w:val="Standard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sz w:val="24"/>
                <w:szCs w:val="24"/>
              </w:rPr>
              <w:t>Wybór sygnału dźwiękowej odpowiedzi EMG: analogowy proporcjonalny do amplitudy odpowiedzi oraz cyfrowy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2E1E5A2" w14:textId="6F4E2C61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F334029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986AD53" w14:textId="5EE31E54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66332E63" w14:textId="2EB4191A" w:rsidTr="00352C65">
        <w:trPr>
          <w:trHeight w:val="6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421936E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80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721CC9D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Automatyczne wykrywanie oraz eliminowanie artefaktów, zakłóceń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6B35ADB" w14:textId="39F310F6" w:rsidR="00352C65" w:rsidRPr="007E1E76" w:rsidRDefault="00551669" w:rsidP="004C553F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9B169C3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4E33CD04" w14:textId="3FDE2644" w:rsidR="00352C65" w:rsidRPr="007E1E76" w:rsidRDefault="004C553F" w:rsidP="004C553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0C65E0B2" w14:textId="344CF2BD" w:rsidTr="00352C65">
        <w:trPr>
          <w:trHeight w:hRule="exact" w:val="1581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4876FEB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ADD700C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Sygnalizacja dźwiękowa dla każdej stymulacji elektrodą stymulującą. Różnorodne dźwięki podczas stymulacji tkanki nerwowej oraz stymulacji obszarów, w których nerwy się nie znajdują.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C2068DB" w14:textId="3C2479E6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2637400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0708FFCD" w14:textId="1270DBDB" w:rsidR="00352C65" w:rsidRPr="007E1E76" w:rsidRDefault="009F56D4" w:rsidP="009F56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59F02E71" w14:textId="7F4A055B" w:rsidTr="00352C65">
        <w:trPr>
          <w:trHeight w:hRule="exact" w:val="1562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B69C516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3BAAE36" w14:textId="66A1DAEF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Urządzenie wyposażone w pamięć wewnętrzną min. 14GB do przechowywania rekordów danych pacjenta z zapisanymi krzywymi EMG z możliwością odczytu zapisanego rekordu w dowolnym czasie po zabiegu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BBA49ED" w14:textId="55DF30F5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4B2C9B1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55BC6280" w14:textId="0E4C882F" w:rsidR="00352C65" w:rsidRPr="007E1E76" w:rsidRDefault="009F56D4" w:rsidP="009F56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0853A787" w14:textId="371BBED0" w:rsidTr="00352C65">
        <w:trPr>
          <w:trHeight w:val="6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E328628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35195F5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Wydruk raportu z zabiegu do pliku min. PDF, JPG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BF2A15D" w14:textId="58DF5FCA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6251997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3E740422" w14:textId="0EAF0C52" w:rsidR="00352C65" w:rsidRPr="007E1E76" w:rsidRDefault="009F56D4" w:rsidP="009F56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42E2A869" w14:textId="03CF6CA3" w:rsidTr="00352C65">
        <w:trPr>
          <w:trHeight w:val="6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C4E884A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BCF32BC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Eksportu do komputera całej bazy danych. Możliwość analizy graficznej w specjalnym programie zalecanym przez producenta urządzenia.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6DA2473" w14:textId="71CCF727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9B51490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47876C5A" w14:textId="258F1311" w:rsidR="00352C65" w:rsidRPr="007E1E76" w:rsidRDefault="009F56D4" w:rsidP="009F56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7DA38D45" w14:textId="315488F2" w:rsidTr="00352C65">
        <w:trPr>
          <w:trHeight w:val="6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C63A4A8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5B072B5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Raportowanie w formie wykresów odpowiedzi EMG i wartości liczbowych amplitudy i latencji przy wykresach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D2D7401" w14:textId="22D4D83A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3C81392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13167400" w14:textId="7CDB29A5" w:rsidR="00352C65" w:rsidRPr="007E1E76" w:rsidRDefault="009F56D4" w:rsidP="009F56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3E1A8CE5" w14:textId="5F6CCD6F" w:rsidTr="00352C65">
        <w:trPr>
          <w:trHeight w:val="6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66F89FB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00D03AE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Pomiar amplitudy i latencji przy odpowiedzi mięśniowej EMG - przypisywanie wartości liczbowych na życzenie operatora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E52E51C" w14:textId="4881DCE9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D2C0DCF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6C120652" w14:textId="7ED9A12A" w:rsidR="00352C65" w:rsidRPr="007E1E76" w:rsidRDefault="009F56D4" w:rsidP="009F56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315A7817" w14:textId="0A896051" w:rsidTr="00352C65">
        <w:trPr>
          <w:trHeight w:hRule="exact" w:val="639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B9BF487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9008F85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Możliwość zatrzymania widoku ekranu za pomocą funkcji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freezy</w:t>
            </w:r>
            <w:proofErr w:type="spellEnd"/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58ECF2A" w14:textId="06A257D0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2AE3CAC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5340C5E3" w14:textId="7E08BCC5" w:rsidR="00352C65" w:rsidRPr="007E1E76" w:rsidRDefault="009F56D4" w:rsidP="009F56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6C4D0DEF" w14:textId="76F473B9" w:rsidTr="00352C65">
        <w:trPr>
          <w:trHeight w:val="6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6BDC984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9E8D1E0" w14:textId="474D49BC" w:rsidR="00352C65" w:rsidRPr="007E1E76" w:rsidRDefault="00352C65" w:rsidP="009F56D4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Potencjalne zagrożenie uszkodzenia nerwu sygnalizowane alarmem </w:t>
            </w:r>
            <w:r w:rsidR="009F56D4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min. </w:t>
            </w: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wizualnym kodowanym kolorystycznie</w:t>
            </w:r>
            <w:r w:rsidR="009F56D4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dźwiękowym- przy zastosowaniu elektrody do ciągłej stymulacji nerwów</w:t>
            </w:r>
            <w:r w:rsidR="009F56D4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lub zaawansowanym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3C86135" w14:textId="77986E7B" w:rsidR="00352C65" w:rsidRPr="007E1E76" w:rsidRDefault="00551669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  <w:r w:rsidR="00352C65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podać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945F822" w14:textId="414261C8" w:rsidR="00352C65" w:rsidRPr="007E1E76" w:rsidRDefault="009F56D4" w:rsidP="009F56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1B086D61" w14:textId="730C034D" w:rsidR="00352C65" w:rsidRPr="007E1E76" w:rsidRDefault="009F56D4">
            <w:pPr>
              <w:pStyle w:val="Standard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 xml:space="preserve">wizualny – 0 pkt, </w:t>
            </w:r>
            <w:r w:rsidRPr="007E1E76">
              <w:rPr>
                <w:rFonts w:ascii="Times New Roman" w:hAnsi="Times New Roman" w:cs="Times New Roman"/>
              </w:rPr>
              <w:br/>
              <w:t>wizualny + dźwiękowy – 5 pkt, zaawansowany (np. progowy) – 10 pkt</w:t>
            </w:r>
          </w:p>
        </w:tc>
      </w:tr>
      <w:tr w:rsidR="00352C65" w:rsidRPr="007E1E76" w14:paraId="367171C4" w14:textId="2D58EEBE" w:rsidTr="00352C65">
        <w:trPr>
          <w:trHeight w:val="6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31C8501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82768E1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Automatyczne dodanie numeru pacjenta  przy pomocy wbudowanego skanera kodów kreskowych i kodów QR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AEF60B1" w14:textId="03F82FFC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C5D6827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47CBB3F5" w14:textId="4555EEDB" w:rsidR="00352C65" w:rsidRPr="007E1E76" w:rsidRDefault="00BB6036" w:rsidP="00BB6036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6D6EA125" w14:textId="6CC39C09" w:rsidTr="00352C65">
        <w:trPr>
          <w:trHeight w:val="6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9263EA0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B3D527A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Praca w sieci szpitalnej poprzez port Ethernet (możliwość drukowania raportu na drukarce sieciowej)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A91B756" w14:textId="15C2449D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3332DBE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274603E6" w14:textId="641E4AA9" w:rsidR="00352C65" w:rsidRPr="007E1E76" w:rsidRDefault="00BB6036" w:rsidP="00BB6036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726A4D2E" w14:textId="4410677F" w:rsidTr="00352C65">
        <w:trPr>
          <w:trHeight w:val="6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8290173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6829801A" w14:textId="563CB173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Przewód przyłączeniowy do sondy stymulacyjnej wielorazowej bipolarnej, dł. przewodu min. 3m – 3 szt.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B2451CB" w14:textId="56A15148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B62A53F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445F3DEA" w14:textId="792319DF" w:rsidR="00352C65" w:rsidRPr="007E1E76" w:rsidRDefault="00BB6036" w:rsidP="00BB6036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76A3777E" w14:textId="14D71E7D" w:rsidTr="00352C65">
        <w:trPr>
          <w:trHeight w:val="1434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31FE21B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9322484" w14:textId="45569FBA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Zestaw różnokolorowych par elektrod igłowych do 4 kanałowego monitorowania nerwów w chirurgii laryngologicznej (dł. min. 15mm, dł. przewodu min. 2000mm, wtyczki </w:t>
            </w:r>
            <w:proofErr w:type="spellStart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touchproof</w:t>
            </w:r>
            <w:proofErr w:type="spellEnd"/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200 par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3AF956D" w14:textId="0D0F2502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0204364A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1BB96B24" w14:textId="52A4701B" w:rsidR="00352C65" w:rsidRPr="007E1E76" w:rsidRDefault="00BB6036" w:rsidP="00BB6036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0496D5A0" w14:textId="335013BA" w:rsidTr="00352C65">
        <w:trPr>
          <w:trHeight w:val="987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82C08F8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C610E1A" w14:textId="568F60B7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Jednorazowa, sterylna elektroda igłowa uziemiająca (zielona) dł. igły min. 20mm, dł. przewodu min. 3m – 50 szt.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266C699" w14:textId="689AD732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BDDBC89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2211A3A2" w14:textId="73CC5914" w:rsidR="00352C65" w:rsidRPr="007E1E76" w:rsidRDefault="00BB6036" w:rsidP="00BB6036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  <w:tr w:rsidR="00352C65" w:rsidRPr="007E1E76" w14:paraId="6C51A5D5" w14:textId="19BF4842" w:rsidTr="00352C65">
        <w:trPr>
          <w:trHeight w:val="987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298E065C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4896C9D8" w14:textId="6CEB7694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Uniwersalne lupy operacyjne: powiększenie min. 2,5x; dystans roboczy min. 400 mm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5BCA35D0" w14:textId="56078E68" w:rsidR="00352C65" w:rsidRPr="007E1E76" w:rsidRDefault="00551669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  <w:r w:rsidR="00352C65"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podać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777F5E4D" w14:textId="55FFC009" w:rsidR="00352C65" w:rsidRPr="007E1E76" w:rsidRDefault="009F56D4" w:rsidP="009F56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5A43CD9D" w14:textId="1315D3E1" w:rsidR="00352C65" w:rsidRPr="007E1E76" w:rsidRDefault="009F56D4" w:rsidP="00BB6036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 xml:space="preserve">2,5x- 0 pkt  </w:t>
            </w:r>
            <w:r w:rsidRPr="007E1E76">
              <w:rPr>
                <w:rFonts w:ascii="Times New Roman" w:hAnsi="Times New Roman" w:cs="Times New Roman"/>
              </w:rPr>
              <w:br/>
              <w:t>&gt;2,5x – 10 pkt</w:t>
            </w:r>
          </w:p>
        </w:tc>
      </w:tr>
      <w:tr w:rsidR="00352C65" w:rsidRPr="007E1E76" w14:paraId="50C03126" w14:textId="7633DE5E" w:rsidTr="00352C65">
        <w:trPr>
          <w:trHeight w:val="987"/>
        </w:trPr>
        <w:tc>
          <w:tcPr>
            <w:tcW w:w="55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353D1F2" w14:textId="77777777" w:rsidR="00352C65" w:rsidRPr="007E1E76" w:rsidRDefault="00352C65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580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1A9E43E" w14:textId="7CB985CB" w:rsidR="00352C65" w:rsidRPr="007E1E76" w:rsidRDefault="00352C65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Wózek dedykowany pod aparaturę medyczna; metalowy, trzy półki, szuflada na przewody i akcesoria. Cztery koła w tym min. 2 z blokadą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3DA5E242" w14:textId="00816DC2" w:rsidR="00352C65" w:rsidRPr="007E1E76" w:rsidRDefault="00551669" w:rsidP="009F56D4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0" w:type="dxa"/>
            </w:tcMar>
            <w:vAlign w:val="center"/>
          </w:tcPr>
          <w:p w14:paraId="1FE5DF9C" w14:textId="77777777" w:rsidR="00352C65" w:rsidRPr="007E1E76" w:rsidRDefault="00352C65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</w:tcPr>
          <w:p w14:paraId="3EE6B04A" w14:textId="7835DC68" w:rsidR="00352C65" w:rsidRPr="007E1E76" w:rsidRDefault="00BB6036" w:rsidP="00BB6036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7E1E76">
              <w:rPr>
                <w:rFonts w:ascii="Times New Roman" w:hAnsi="Times New Roman" w:cs="Times New Roman"/>
              </w:rPr>
              <w:t>Wymagane</w:t>
            </w:r>
          </w:p>
        </w:tc>
      </w:tr>
    </w:tbl>
    <w:p w14:paraId="084676CF" w14:textId="77777777" w:rsidR="000162F1" w:rsidRPr="007E1E76" w:rsidRDefault="000162F1">
      <w:pPr>
        <w:pStyle w:val="Standard"/>
        <w:ind w:right="50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5189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7"/>
        <w:gridCol w:w="5692"/>
        <w:gridCol w:w="1701"/>
        <w:gridCol w:w="2552"/>
        <w:gridCol w:w="3402"/>
        <w:gridCol w:w="1155"/>
      </w:tblGrid>
      <w:tr w:rsidR="007F54D9" w:rsidRPr="007E1E76" w14:paraId="2CD58CF7" w14:textId="77777777" w:rsidTr="005525EC">
        <w:trPr>
          <w:trHeight w:val="225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0E6C14" w14:textId="77777777" w:rsidR="007F54D9" w:rsidRPr="007E1E76" w:rsidRDefault="007F54D9">
            <w:pPr>
              <w:pStyle w:val="Standard"/>
              <w:suppressAutoHyphens w:val="0"/>
              <w:ind w:firstLine="36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WARUNKI GWARANCJI I SERWISU</w:t>
            </w:r>
          </w:p>
        </w:tc>
        <w:tc>
          <w:tcPr>
            <w:tcW w:w="1155" w:type="dxa"/>
          </w:tcPr>
          <w:p w14:paraId="6F550CB6" w14:textId="77777777" w:rsidR="007F54D9" w:rsidRPr="007E1E76" w:rsidRDefault="007F54D9">
            <w:pPr>
              <w:pStyle w:val="Standard"/>
              <w:suppressAutoHyphens w:val="0"/>
              <w:ind w:firstLine="36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F54D9" w:rsidRPr="007E1E76" w14:paraId="2546A93B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8DBA79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376629" w14:textId="1DB11C25" w:rsidR="007F54D9" w:rsidRPr="007E1E76" w:rsidRDefault="007F54D9">
            <w:pPr>
              <w:pStyle w:val="Standard"/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Gwarancja  </w:t>
            </w:r>
            <w:r w:rsidR="00B5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miesiące.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570131" w14:textId="39D62F5B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D5ADE2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7CA552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57DF1C1F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1A015977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D6F95A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28BF06" w14:textId="77777777" w:rsidR="007F54D9" w:rsidRPr="007E1E76" w:rsidRDefault="007F54D9">
            <w:pPr>
              <w:pStyle w:val="Standard"/>
              <w:suppressAutoHyphens w:val="0"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Instalacja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350E0A" w14:textId="7B3151F3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686CB3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1EEB6B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523A19EC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25BAC0FB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D1DED5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5E587C" w14:textId="77777777" w:rsidR="007F54D9" w:rsidRPr="007E1E76" w:rsidRDefault="007F54D9">
            <w:pPr>
              <w:pStyle w:val="Standard"/>
              <w:suppressAutoHyphens w:val="0"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serwis gwarancyjny i dostępny  serwis pogwarancyjny, podać kontakt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5755A" w14:textId="3533968B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3AB2C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6AC100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627B0D51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0441B4FE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A2DE3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0F02A1" w14:textId="77777777" w:rsidR="007F54D9" w:rsidRPr="007E1E76" w:rsidRDefault="007F54D9">
            <w:pPr>
              <w:pStyle w:val="Standard"/>
              <w:suppressAutoHyphens w:val="0"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Możliwość zgłaszania usterek 24h/dobę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E4B7ED" w14:textId="4A310878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70C5FC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680195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31116AFA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1E3464D7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C930AA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5CD309" w14:textId="77777777" w:rsidR="007F54D9" w:rsidRPr="007E1E76" w:rsidRDefault="007F54D9">
            <w:pPr>
              <w:pStyle w:val="Standard"/>
              <w:suppressAutoHyphens w:val="0"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Czas reakcji na zgłoszenie awarii w okresie gwarancji max. do 48 godzin (dotyczy dni roboczych).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18BB9E" w14:textId="4757F030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E24A7B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501F5C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17CFE943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276ED842" w14:textId="77777777" w:rsidTr="005525EC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0D5A1B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69B05" w14:textId="77777777" w:rsidR="007F54D9" w:rsidRPr="007E1E76" w:rsidRDefault="007F54D9">
            <w:pPr>
              <w:pStyle w:val="Standard"/>
              <w:suppressAutoHyphens w:val="0"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Naprawa powinna być wykonana w terminie 5 dni roboczych od dnia otrzymania zgłoszenia, w przypadku gdy naprawa wymaga sprowadzenia nowych części termin zostanie wydłużony do 10 dni roboczych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B5E727" w14:textId="6E0E6400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71C94A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FB1E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0D058292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4BB7AA3D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6B1ED0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89EC4D" w14:textId="77777777" w:rsidR="007F54D9" w:rsidRPr="007E1E76" w:rsidRDefault="007F54D9">
            <w:pPr>
              <w:pStyle w:val="Standard"/>
              <w:suppressAutoHyphens w:val="0"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Liczba napraw powodująca wymianę podzespołu na nowy- maksimum 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3B1E8A" w14:textId="6F4E9340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0F626F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400F0B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088E0738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4D4F3605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0AB728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2160EF" w14:textId="77777777" w:rsidR="007F54D9" w:rsidRPr="007E1E76" w:rsidRDefault="007F54D9">
            <w:pPr>
              <w:pStyle w:val="Standard"/>
              <w:suppressAutoHyphens w:val="0"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Minimalny okres przestoju ponad czas przewidziany na naprawę wydłużający gwarancję- 5 dni roboczych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907DC7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3603AC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37C928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4D2CDE0B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2E0DD4A7" w14:textId="77777777" w:rsidTr="005525EC">
        <w:trPr>
          <w:trHeight w:val="225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D8387A" w14:textId="77777777" w:rsidR="007F54D9" w:rsidRPr="00551669" w:rsidRDefault="007F54D9">
            <w:pPr>
              <w:pStyle w:val="Standard"/>
              <w:suppressAutoHyphens w:val="0"/>
              <w:ind w:firstLine="36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SZKOLENIA</w:t>
            </w:r>
          </w:p>
        </w:tc>
        <w:tc>
          <w:tcPr>
            <w:tcW w:w="1155" w:type="dxa"/>
          </w:tcPr>
          <w:p w14:paraId="6BFB9847" w14:textId="77777777" w:rsidR="007F54D9" w:rsidRPr="007E1E76" w:rsidRDefault="007F54D9">
            <w:pPr>
              <w:pStyle w:val="Standard"/>
              <w:suppressAutoHyphens w:val="0"/>
              <w:ind w:firstLine="36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7F54D9" w:rsidRPr="007E1E76" w14:paraId="00FDF051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3E40E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70E1AD" w14:textId="77777777" w:rsidR="007F54D9" w:rsidRPr="007E1E76" w:rsidRDefault="007F54D9">
            <w:pPr>
              <w:pStyle w:val="Standard"/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Szkolenie personelu medycznego w zakresie eksploatacji i obsługi aparatu w miejscu instalacji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8E759B" w14:textId="612EF74D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4260ED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8D1E9E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17DC7EEC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65A39F15" w14:textId="77777777" w:rsidTr="005525EC">
        <w:trPr>
          <w:trHeight w:val="225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F8F8F7" w14:textId="77777777" w:rsidR="007F54D9" w:rsidRPr="00551669" w:rsidRDefault="007F54D9">
            <w:pPr>
              <w:pStyle w:val="Standard"/>
              <w:suppressAutoHyphens w:val="0"/>
              <w:ind w:firstLine="36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INNE  INFORMACJE</w:t>
            </w:r>
          </w:p>
        </w:tc>
        <w:tc>
          <w:tcPr>
            <w:tcW w:w="1155" w:type="dxa"/>
          </w:tcPr>
          <w:p w14:paraId="7273F5A5" w14:textId="77777777" w:rsidR="007F54D9" w:rsidRPr="007E1E76" w:rsidRDefault="007F54D9">
            <w:pPr>
              <w:pStyle w:val="Standard"/>
              <w:suppressAutoHyphens w:val="0"/>
              <w:ind w:firstLine="36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7F54D9" w:rsidRPr="007E1E76" w14:paraId="60D27AEA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1ACCA8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2A35AE" w14:textId="77777777" w:rsidR="007F54D9" w:rsidRPr="007E1E76" w:rsidRDefault="007F54D9">
            <w:pPr>
              <w:pStyle w:val="Standard"/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Dokumenty dopuszczające do obrotu i używania na terenie RP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5A1639" w14:textId="551481D0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136384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DDC4D9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35D5A973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0849B210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C2508F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99207F" w14:textId="77777777" w:rsidR="007F54D9" w:rsidRPr="007E1E76" w:rsidRDefault="007F54D9">
            <w:pPr>
              <w:pStyle w:val="Standard"/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serwis na terenie Polski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805180" w14:textId="19481B8A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C3592A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408CE8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2C6A624B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266D4636" w14:textId="77777777" w:rsidTr="005525EC">
        <w:trPr>
          <w:trHeight w:val="240"/>
        </w:trPr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40C8FC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6B35B9" w14:textId="77777777" w:rsidR="007F54D9" w:rsidRPr="007E1E76" w:rsidRDefault="007F54D9">
            <w:pPr>
              <w:pStyle w:val="Standard"/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Instrukcja obsługi  w języku polskim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F8F3AB" w14:textId="295B52A0" w:rsidR="007F54D9" w:rsidRPr="007E1E76" w:rsidRDefault="0055166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A8AB75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C67428" w14:textId="77777777" w:rsidR="007F54D9" w:rsidRPr="00551669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Wymagane</w:t>
            </w:r>
          </w:p>
        </w:tc>
        <w:tc>
          <w:tcPr>
            <w:tcW w:w="1155" w:type="dxa"/>
          </w:tcPr>
          <w:p w14:paraId="2362F567" w14:textId="77777777" w:rsidR="007F54D9" w:rsidRPr="007E1E76" w:rsidRDefault="007F54D9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54D9" w:rsidRPr="007E1E76" w14:paraId="6EBE6059" w14:textId="77777777" w:rsidTr="007F54D9">
        <w:trPr>
          <w:trHeight w:val="300"/>
        </w:trPr>
        <w:tc>
          <w:tcPr>
            <w:tcW w:w="6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5EA2" w14:textId="77777777" w:rsidR="007F54D9" w:rsidRPr="007E1E76" w:rsidRDefault="007F54D9">
            <w:pPr>
              <w:pStyle w:val="Standard"/>
              <w:suppressAutoHyphens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A3E9A" w14:textId="77777777" w:rsidR="007F54D9" w:rsidRPr="007E1E76" w:rsidRDefault="007F54D9">
            <w:pPr>
              <w:pStyle w:val="Standard"/>
              <w:suppressAutoHyphens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053F1" w14:textId="77777777" w:rsidR="007F54D9" w:rsidRPr="007E1E76" w:rsidRDefault="007F54D9">
            <w:pPr>
              <w:pStyle w:val="Standard"/>
              <w:suppressAutoHyphens w:val="0"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10EA8" w14:textId="77777777" w:rsidR="007F54D9" w:rsidRPr="007E1E76" w:rsidRDefault="007F54D9">
            <w:pPr>
              <w:pStyle w:val="Standard"/>
              <w:suppressAutoHyphens w:val="0"/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C0F29" w14:textId="77777777" w:rsidR="007F54D9" w:rsidRPr="007E1E76" w:rsidRDefault="007F54D9">
            <w:pPr>
              <w:pStyle w:val="Standard"/>
              <w:suppressAutoHyphens w:val="0"/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00DBF67" w14:textId="77777777" w:rsidR="007F54D9" w:rsidRPr="007E1E76" w:rsidRDefault="007F54D9" w:rsidP="007F54D9">
      <w:pPr>
        <w:rPr>
          <w:rFonts w:ascii="Times New Roman" w:hAnsi="Times New Roman" w:cs="Times New Roman"/>
          <w:bCs/>
        </w:rPr>
      </w:pPr>
      <w:r w:rsidRPr="007E1E76">
        <w:rPr>
          <w:rFonts w:ascii="Times New Roman" w:hAnsi="Times New Roman" w:cs="Times New Roman"/>
          <w:bCs/>
        </w:rPr>
        <w:t>Uwagi i objaśnienia:</w:t>
      </w:r>
    </w:p>
    <w:p w14:paraId="5A74C7FB" w14:textId="77777777" w:rsidR="007F54D9" w:rsidRPr="007E1E76" w:rsidRDefault="007F54D9" w:rsidP="007F54D9">
      <w:pPr>
        <w:rPr>
          <w:rFonts w:ascii="Times New Roman" w:hAnsi="Times New Roman" w:cs="Times New Roman"/>
          <w:bCs/>
        </w:rPr>
      </w:pPr>
      <w:r w:rsidRPr="007E1E76">
        <w:rPr>
          <w:rFonts w:ascii="Times New Roman" w:hAnsi="Times New Roman" w:cs="Times New Roman"/>
          <w:bCs/>
        </w:rPr>
        <w:t xml:space="preserve">• (*) Przedmiotowe środki dowodowe złożone wraz z ofertą na potwierdzenie parametrów ocenianych nie będą podlegały uzupełnieniu, Wykonawca do oferty załącza materiały firmowe w języku polskim – np. katalogi techniczne, foldery, specyfikacje handlowe, ulotki – dotyczy parametrów ocenianych (patrz Kryteria oceny ofert) </w:t>
      </w:r>
    </w:p>
    <w:p w14:paraId="4D28C1DF" w14:textId="77777777" w:rsidR="007F54D9" w:rsidRPr="007E1E76" w:rsidRDefault="007F54D9" w:rsidP="007F54D9">
      <w:pPr>
        <w:rPr>
          <w:rFonts w:ascii="Times New Roman" w:hAnsi="Times New Roman" w:cs="Times New Roman"/>
          <w:bCs/>
        </w:rPr>
      </w:pPr>
      <w:r w:rsidRPr="007E1E76">
        <w:rPr>
          <w:rFonts w:ascii="Times New Roman" w:hAnsi="Times New Roman" w:cs="Times New Roman"/>
          <w:bCs/>
        </w:rPr>
        <w:t>• Wykonawca zobowiązany jest do podania parametrów w jednostkach wskazanych w niniejszym opisie.</w:t>
      </w:r>
    </w:p>
    <w:p w14:paraId="2FA2721D" w14:textId="77777777" w:rsidR="007F54D9" w:rsidRPr="007E1E76" w:rsidRDefault="007F54D9" w:rsidP="007F54D9">
      <w:pPr>
        <w:rPr>
          <w:rFonts w:ascii="Times New Roman" w:hAnsi="Times New Roman" w:cs="Times New Roman"/>
          <w:bCs/>
        </w:rPr>
      </w:pPr>
      <w:r w:rsidRPr="007E1E76">
        <w:rPr>
          <w:rFonts w:ascii="Times New Roman" w:hAnsi="Times New Roman" w:cs="Times New Roman"/>
          <w:bCs/>
        </w:rPr>
        <w:t>• W tabelce należy podać numer strony  katalogu, na której znajduje się opis parametru, a w katalogu należy wyróżnić kolorem lub podać numer parametru z tabeli , którego dany opis dotyczy.</w:t>
      </w:r>
    </w:p>
    <w:p w14:paraId="06007DCF" w14:textId="77777777" w:rsidR="007F54D9" w:rsidRPr="007E1E76" w:rsidRDefault="007F54D9" w:rsidP="007F54D9">
      <w:pPr>
        <w:rPr>
          <w:rFonts w:ascii="Times New Roman" w:hAnsi="Times New Roman" w:cs="Times New Roman"/>
          <w:bCs/>
        </w:rPr>
      </w:pPr>
    </w:p>
    <w:p w14:paraId="5BE7154F" w14:textId="77777777" w:rsidR="007F54D9" w:rsidRPr="007E1E76" w:rsidRDefault="007F54D9" w:rsidP="007F54D9">
      <w:pPr>
        <w:rPr>
          <w:rFonts w:ascii="Times New Roman" w:hAnsi="Times New Roman" w:cs="Times New Roman"/>
          <w:bCs/>
        </w:rPr>
      </w:pPr>
    </w:p>
    <w:p w14:paraId="4B2970DC" w14:textId="77777777" w:rsidR="007F54D9" w:rsidRPr="007E1E76" w:rsidRDefault="007F54D9" w:rsidP="007F54D9">
      <w:pPr>
        <w:rPr>
          <w:rFonts w:ascii="Times New Roman" w:hAnsi="Times New Roman" w:cs="Times New Roman"/>
          <w:bCs/>
        </w:rPr>
      </w:pPr>
    </w:p>
    <w:p w14:paraId="0FDB76C0" w14:textId="77777777" w:rsidR="007F54D9" w:rsidRPr="007E1E76" w:rsidRDefault="007F54D9" w:rsidP="007F54D9">
      <w:pPr>
        <w:rPr>
          <w:rFonts w:ascii="Times New Roman" w:hAnsi="Times New Roman" w:cs="Times New Roman"/>
          <w:bCs/>
        </w:rPr>
      </w:pPr>
      <w:r w:rsidRPr="007E1E76">
        <w:rPr>
          <w:rFonts w:ascii="Times New Roman" w:hAnsi="Times New Roman" w:cs="Times New Roman"/>
          <w:bCs/>
        </w:rPr>
        <w:t>Miejscowość .......................................................... data ......................................................</w:t>
      </w:r>
    </w:p>
    <w:p w14:paraId="0957A0AD" w14:textId="77777777" w:rsidR="007F54D9" w:rsidRPr="007E1E76" w:rsidRDefault="007F54D9">
      <w:pPr>
        <w:pStyle w:val="Standard"/>
        <w:ind w:right="50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7F54D9" w:rsidRPr="007E1E76" w:rsidSect="00146278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BE604" w14:textId="77777777" w:rsidR="00F738C8" w:rsidRDefault="00F738C8">
      <w:r>
        <w:separator/>
      </w:r>
    </w:p>
  </w:endnote>
  <w:endnote w:type="continuationSeparator" w:id="0">
    <w:p w14:paraId="666FBDB5" w14:textId="77777777" w:rsidR="00F738C8" w:rsidRDefault="00F7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BoldItalicMT">
    <w:charset w:val="00"/>
    <w:family w:val="roman"/>
    <w:pitch w:val="variable"/>
  </w:font>
  <w:font w:name="Arial, Arial"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-BoldItalicMT">
    <w:altName w:val="Arial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47C69" w14:textId="77777777" w:rsidR="00F11AA1" w:rsidRDefault="00F11AA1">
    <w:pPr>
      <w:pStyle w:val="Standard"/>
      <w:ind w:left="-284"/>
      <w:rPr>
        <w:rFonts w:ascii="Arial-BoldItalicMT" w:hAnsi="Arial-BoldItalicMT" w:hint="eastAsia"/>
        <w:b/>
        <w:i/>
        <w:sz w:val="16"/>
      </w:rPr>
    </w:pPr>
  </w:p>
  <w:p w14:paraId="0C157E52" w14:textId="77777777" w:rsidR="00F11AA1" w:rsidRDefault="00F11AA1">
    <w:pPr>
      <w:pStyle w:val="Standard"/>
      <w:tabs>
        <w:tab w:val="center" w:pos="4536"/>
        <w:tab w:val="right" w:pos="9072"/>
      </w:tabs>
      <w:ind w:right="-6"/>
      <w:jc w:val="center"/>
      <w:textAlignment w:val="auto"/>
      <w:rPr>
        <w:rFonts w:ascii="Arial" w:hAnsi="Arial" w:cs="Arial"/>
        <w:b/>
        <w:i/>
        <w:sz w:val="16"/>
        <w:szCs w:val="16"/>
        <w:lang w:eastAsia="ar-SA" w:bidi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85ADA" w14:textId="77777777" w:rsidR="00F738C8" w:rsidRDefault="00F738C8">
      <w:r>
        <w:rPr>
          <w:color w:val="000000"/>
        </w:rPr>
        <w:separator/>
      </w:r>
    </w:p>
  </w:footnote>
  <w:footnote w:type="continuationSeparator" w:id="0">
    <w:p w14:paraId="561D39C9" w14:textId="77777777" w:rsidR="00F738C8" w:rsidRDefault="00F7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2884"/>
    <w:multiLevelType w:val="multilevel"/>
    <w:tmpl w:val="249CD1C8"/>
    <w:styleLink w:val="WWNum4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" w15:restartNumberingAfterBreak="0">
    <w:nsid w:val="08640B38"/>
    <w:multiLevelType w:val="multilevel"/>
    <w:tmpl w:val="4A8E7C32"/>
    <w:styleLink w:val="WW8Num1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0D232495"/>
    <w:multiLevelType w:val="multilevel"/>
    <w:tmpl w:val="339E8D68"/>
    <w:styleLink w:val="WW8Num2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 w:cs="Wingdings"/>
      </w:rPr>
    </w:lvl>
  </w:abstractNum>
  <w:abstractNum w:abstractNumId="3" w15:restartNumberingAfterBreak="0">
    <w:nsid w:val="141758E3"/>
    <w:multiLevelType w:val="multilevel"/>
    <w:tmpl w:val="A1DE4DF0"/>
    <w:styleLink w:val="WWNum6"/>
    <w:lvl w:ilvl="0">
      <w:start w:val="1"/>
      <w:numFmt w:val="decimal"/>
      <w:lvlText w:val="%1."/>
      <w:lvlJc w:val="left"/>
      <w:pPr>
        <w:ind w:left="720" w:hanging="55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A1A0C2B"/>
    <w:multiLevelType w:val="multilevel"/>
    <w:tmpl w:val="238E831A"/>
    <w:styleLink w:val="WWNum3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5" w15:restartNumberingAfterBreak="0">
    <w:nsid w:val="1C4824C8"/>
    <w:multiLevelType w:val="multilevel"/>
    <w:tmpl w:val="8C621A36"/>
    <w:styleLink w:val="WWNum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6" w15:restartNumberingAfterBreak="0">
    <w:nsid w:val="2407522F"/>
    <w:multiLevelType w:val="multilevel"/>
    <w:tmpl w:val="3C226666"/>
    <w:styleLink w:val="WWNum1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" w15:restartNumberingAfterBreak="0">
    <w:nsid w:val="242437C1"/>
    <w:multiLevelType w:val="multilevel"/>
    <w:tmpl w:val="6CF683C4"/>
    <w:styleLink w:val="WWNum2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B2597"/>
    <w:multiLevelType w:val="multilevel"/>
    <w:tmpl w:val="A2A07E20"/>
    <w:styleLink w:val="WWNum8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9" w15:restartNumberingAfterBreak="0">
    <w:nsid w:val="43EE4C05"/>
    <w:multiLevelType w:val="multilevel"/>
    <w:tmpl w:val="5606A15C"/>
    <w:styleLink w:val="WWNum10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58433AA9"/>
    <w:multiLevelType w:val="multilevel"/>
    <w:tmpl w:val="37C05044"/>
    <w:styleLink w:val="WWNum7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1" w15:restartNumberingAfterBreak="0">
    <w:nsid w:val="5D6A7B70"/>
    <w:multiLevelType w:val="multilevel"/>
    <w:tmpl w:val="88967EFC"/>
    <w:styleLink w:val="WWNum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2" w15:restartNumberingAfterBreak="0">
    <w:nsid w:val="69A353A9"/>
    <w:multiLevelType w:val="multilevel"/>
    <w:tmpl w:val="9D3A61EC"/>
    <w:styleLink w:val="WWNum1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abstractNum w:abstractNumId="13" w15:restartNumberingAfterBreak="0">
    <w:nsid w:val="74AD70CB"/>
    <w:multiLevelType w:val="multilevel"/>
    <w:tmpl w:val="BFA0075A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673801622">
    <w:abstractNumId w:val="13"/>
  </w:num>
  <w:num w:numId="2" w16cid:durableId="102263810">
    <w:abstractNumId w:val="1"/>
  </w:num>
  <w:num w:numId="3" w16cid:durableId="309991360">
    <w:abstractNumId w:val="12"/>
  </w:num>
  <w:num w:numId="4" w16cid:durableId="871067488">
    <w:abstractNumId w:val="7"/>
  </w:num>
  <w:num w:numId="5" w16cid:durableId="425885373">
    <w:abstractNumId w:val="4"/>
  </w:num>
  <w:num w:numId="6" w16cid:durableId="1128083659">
    <w:abstractNumId w:val="0"/>
  </w:num>
  <w:num w:numId="7" w16cid:durableId="2042049335">
    <w:abstractNumId w:val="11"/>
  </w:num>
  <w:num w:numId="8" w16cid:durableId="2095474954">
    <w:abstractNumId w:val="3"/>
  </w:num>
  <w:num w:numId="9" w16cid:durableId="475494011">
    <w:abstractNumId w:val="10"/>
  </w:num>
  <w:num w:numId="10" w16cid:durableId="749616758">
    <w:abstractNumId w:val="8"/>
  </w:num>
  <w:num w:numId="11" w16cid:durableId="1192843084">
    <w:abstractNumId w:val="5"/>
  </w:num>
  <w:num w:numId="12" w16cid:durableId="716395023">
    <w:abstractNumId w:val="9"/>
  </w:num>
  <w:num w:numId="13" w16cid:durableId="2088647052">
    <w:abstractNumId w:val="6"/>
  </w:num>
  <w:num w:numId="14" w16cid:durableId="1088623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643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F1"/>
    <w:rsid w:val="000162F1"/>
    <w:rsid w:val="00146278"/>
    <w:rsid w:val="001B2823"/>
    <w:rsid w:val="00253BC9"/>
    <w:rsid w:val="00352C65"/>
    <w:rsid w:val="004C553F"/>
    <w:rsid w:val="00551669"/>
    <w:rsid w:val="005525EC"/>
    <w:rsid w:val="006C253D"/>
    <w:rsid w:val="006F177E"/>
    <w:rsid w:val="00773706"/>
    <w:rsid w:val="007B0B9C"/>
    <w:rsid w:val="007B17F7"/>
    <w:rsid w:val="007E1E76"/>
    <w:rsid w:val="007F54D9"/>
    <w:rsid w:val="00982D41"/>
    <w:rsid w:val="009F56D4"/>
    <w:rsid w:val="00A64AD9"/>
    <w:rsid w:val="00A8101D"/>
    <w:rsid w:val="00B21559"/>
    <w:rsid w:val="00B511CB"/>
    <w:rsid w:val="00B57C97"/>
    <w:rsid w:val="00B62EA0"/>
    <w:rsid w:val="00B64996"/>
    <w:rsid w:val="00BB6036"/>
    <w:rsid w:val="00CC2C2E"/>
    <w:rsid w:val="00D5069A"/>
    <w:rsid w:val="00F11AA1"/>
    <w:rsid w:val="00F738C8"/>
    <w:rsid w:val="00FD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97DCA"/>
  <w15:docId w15:val="{756577D8-A892-440D-A7AE-DE4E748D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spacing w:before="62"/>
      <w:ind w:left="6776"/>
      <w:outlineLvl w:val="0"/>
    </w:pPr>
    <w:rPr>
      <w:b/>
      <w:bCs/>
      <w:sz w:val="28"/>
      <w:szCs w:val="28"/>
    </w:rPr>
  </w:style>
  <w:style w:type="paragraph" w:styleId="Nagwek3">
    <w:name w:val="heading 3"/>
    <w:basedOn w:val="Standard"/>
    <w:uiPriority w:val="9"/>
    <w:semiHidden/>
    <w:unhideWhenUsed/>
    <w:qFormat/>
    <w:pPr>
      <w:keepNext/>
      <w:keepLines/>
      <w:spacing w:before="40"/>
      <w:outlineLvl w:val="2"/>
    </w:pPr>
    <w:rPr>
      <w:rFonts w:ascii="Calibri Light" w:hAnsi="Calibri Light" w:cs="Calibri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textAlignment w:val="center"/>
    </w:pPr>
    <w:rPr>
      <w:rFonts w:ascii="Liberation Serif" w:hAnsi="Liberation Serif" w:cs="Mangal"/>
      <w:color w:val="00000A"/>
      <w:sz w:val="22"/>
      <w:szCs w:val="22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widowControl w:val="0"/>
      <w:spacing w:after="140" w:line="288" w:lineRule="auto"/>
    </w:pPr>
    <w:rPr>
      <w:rFonts w:ascii="TimesNewRomanPS-BoldItalicMT" w:eastAsia="TimesNewRomanPS-BoldItalicMT" w:hAnsi="TimesNewRomanPS-BoldItalicMT" w:cs="TimesNewRomanPS-BoldItalicMT"/>
      <w:b/>
      <w:bCs/>
      <w:i/>
      <w:sz w:val="24"/>
      <w:szCs w:val="24"/>
      <w:lang w:eastAsia="en-US" w:bidi="ar-SA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sz w:val="18"/>
      <w:szCs w:val="18"/>
    </w:rPr>
  </w:style>
  <w:style w:type="paragraph" w:styleId="Bezodstpw">
    <w:name w:val="No Spacing"/>
    <w:pPr>
      <w:widowControl/>
      <w:suppressAutoHyphens/>
    </w:pPr>
    <w:rPr>
      <w:rFonts w:ascii="Arial, Arial" w:eastAsia="Calibri" w:hAnsi="Arial, Arial" w:cs="Arial, Arial"/>
    </w:rPr>
  </w:style>
  <w:style w:type="paragraph" w:customStyle="1" w:styleId="TableContents">
    <w:name w:val="Table Contents"/>
    <w:basedOn w:val="Standard"/>
    <w:pPr>
      <w:suppressLineNumbers/>
      <w:textAlignment w:val="baseline"/>
    </w:pPr>
    <w:rPr>
      <w:rFonts w:cs="Tahoma"/>
      <w:sz w:val="24"/>
      <w:szCs w:val="24"/>
      <w:lang w:val="de-DE" w:eastAsia="ja-JP" w:bidi="fa-IR"/>
    </w:rPr>
  </w:style>
  <w:style w:type="paragraph" w:styleId="Lista-kontynuacja2">
    <w:name w:val="List Continue 2"/>
    <w:pPr>
      <w:tabs>
        <w:tab w:val="left" w:pos="1440"/>
        <w:tab w:val="left" w:pos="1800"/>
      </w:tabs>
      <w:suppressAutoHyphens/>
      <w:spacing w:after="160"/>
      <w:ind w:left="1080" w:hanging="360"/>
    </w:pPr>
    <w:rPr>
      <w:rFonts w:cs="Tahoma"/>
      <w:color w:val="00000A"/>
      <w:sz w:val="20"/>
      <w:szCs w:val="20"/>
      <w:lang w:val="de-DE" w:eastAsia="ja-JP" w:bidi="fa-IR"/>
    </w:rPr>
  </w:style>
  <w:style w:type="paragraph" w:styleId="Lista-kontynuacja">
    <w:name w:val="List Continue"/>
    <w:basedOn w:val="Standard"/>
    <w:pPr>
      <w:spacing w:after="120"/>
      <w:ind w:left="283"/>
    </w:pPr>
  </w:style>
  <w:style w:type="paragraph" w:customStyle="1" w:styleId="Nagwek10">
    <w:name w:val="Nagłówek1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  <w:lang w:bidi="ar-SA"/>
    </w:rPr>
  </w:style>
  <w:style w:type="paragraph" w:styleId="Tekstprzypisudolnego">
    <w:name w:val="footnote text"/>
    <w:basedOn w:val="Standard"/>
    <w:rPr>
      <w:rFonts w:cs="Calibri"/>
      <w:sz w:val="24"/>
      <w:szCs w:val="24"/>
      <w:lang w:bidi="ar-SA"/>
    </w:rPr>
  </w:style>
  <w:style w:type="paragraph" w:styleId="Akapitzlist">
    <w:name w:val="List Paragraph"/>
    <w:basedOn w:val="Standard"/>
    <w:pPr>
      <w:ind w:left="720"/>
    </w:pPr>
    <w:rPr>
      <w:rFonts w:eastAsia="Lucida Sans Unicode" w:cs="Calibri"/>
      <w:sz w:val="24"/>
      <w:szCs w:val="24"/>
      <w:lang w:eastAsia="ar-SA" w:bidi="ar-SA"/>
    </w:rPr>
  </w:style>
  <w:style w:type="paragraph" w:customStyle="1" w:styleId="Tekstpodstawowy21">
    <w:name w:val="Tekst podstawowy 21"/>
    <w:basedOn w:val="Standard"/>
    <w:rPr>
      <w:b/>
      <w:bCs/>
      <w:sz w:val="24"/>
      <w:szCs w:val="24"/>
      <w:lang w:eastAsia="ar-SA" w:bidi="ar-SA"/>
    </w:rPr>
  </w:style>
  <w:style w:type="paragraph" w:customStyle="1" w:styleId="Normalny1">
    <w:name w:val="Normalny1"/>
    <w:pPr>
      <w:suppressAutoHyphens/>
      <w:spacing w:after="200" w:line="276" w:lineRule="auto"/>
    </w:pPr>
    <w:rPr>
      <w:rFonts w:ascii="Liberation Serif" w:hAnsi="Liberation Serif" w:cs="Mangal"/>
      <w:color w:val="00000A"/>
      <w:lang w:eastAsia="zh-CN" w:bidi="hi-IN"/>
    </w:rPr>
  </w:style>
  <w:style w:type="paragraph" w:customStyle="1" w:styleId="TableParagraph">
    <w:name w:val="Table Paragraph"/>
    <w:basedOn w:val="Standard"/>
  </w:style>
  <w:style w:type="paragraph" w:customStyle="1" w:styleId="0">
    <w:name w:val="0"/>
    <w:basedOn w:val="Standard"/>
    <w:pPr>
      <w:jc w:val="both"/>
    </w:pPr>
    <w:rPr>
      <w:sz w:val="21"/>
      <w:szCs w:val="20"/>
      <w:lang w:val="en-US" w:bidi="ar-SA"/>
    </w:rPr>
  </w:style>
  <w:style w:type="paragraph" w:styleId="Tekstpodstawowy2">
    <w:name w:val="Body Text 2"/>
    <w:basedOn w:val="Standard"/>
    <w:rPr>
      <w:b/>
      <w:bCs/>
      <w:sz w:val="24"/>
      <w:szCs w:val="24"/>
      <w:lang w:eastAsia="ar-SA" w:bidi="ar-SA"/>
    </w:rPr>
  </w:style>
  <w:style w:type="paragraph" w:styleId="NormalnyWeb">
    <w:name w:val="Normal (Web)"/>
    <w:basedOn w:val="Standard"/>
    <w:pPr>
      <w:spacing w:after="280"/>
    </w:pPr>
    <w:rPr>
      <w:sz w:val="24"/>
      <w:szCs w:val="24"/>
      <w:lang w:bidi="ar-SA"/>
    </w:rPr>
  </w:style>
  <w:style w:type="paragraph" w:customStyle="1" w:styleId="TableHeading">
    <w:name w:val="Table Heading"/>
    <w:basedOn w:val="TableContents"/>
  </w:style>
  <w:style w:type="paragraph" w:customStyle="1" w:styleId="Default">
    <w:name w:val="Default"/>
    <w:pPr>
      <w:widowControl/>
      <w:suppressAutoHyphens/>
      <w:autoSpaceDE w:val="0"/>
    </w:pPr>
    <w:rPr>
      <w:rFonts w:ascii="Bookman Old Style" w:eastAsia="Times New Roman" w:hAnsi="Bookman Old Style" w:cs="Bookman Old Style"/>
      <w:color w:val="000000"/>
      <w:lang w:eastAsia="zh-CN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podstawowyZnak">
    <w:name w:val="Tekst podstawowy Znak"/>
    <w:basedOn w:val="Domylnaczcionkaakapitu"/>
    <w:rPr>
      <w:rFonts w:ascii="TimesNewRomanPS-BoldItalicMT" w:eastAsia="TimesNewRomanPS-BoldItalicMT" w:hAnsi="TimesNewRomanPS-BoldItalicMT" w:cs="TimesNewRomanPS-BoldItalicMT"/>
      <w:b/>
      <w:bCs/>
      <w:i/>
      <w:lang w:eastAsia="pl-PL" w:bidi="pl-PL"/>
    </w:rPr>
  </w:style>
  <w:style w:type="character" w:customStyle="1" w:styleId="TekstdymkaZnak">
    <w:name w:val="Tekst dymka Znak"/>
    <w:basedOn w:val="Domylnaczcionkaakapitu"/>
    <w:rPr>
      <w:rFonts w:ascii="Times New Roman" w:hAnsi="Times New Roman" w:cs="Times New Roman"/>
      <w:sz w:val="18"/>
      <w:szCs w:val="18"/>
    </w:r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bCs/>
      <w:sz w:val="28"/>
      <w:szCs w:val="28"/>
      <w:lang w:eastAsia="pl-PL" w:bidi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Calibri"/>
      <w:lang w:eastAsia="zh-CN"/>
    </w:rPr>
  </w:style>
  <w:style w:type="character" w:customStyle="1" w:styleId="Nagwek3Znak">
    <w:name w:val="Nagłówek 3 Znak"/>
    <w:basedOn w:val="Domylnaczcionkaakapitu"/>
    <w:rPr>
      <w:rFonts w:ascii="Calibri Light" w:hAnsi="Calibri Light" w:cs="Calibri"/>
      <w:color w:val="1F3763"/>
      <w:lang w:eastAsia="pl-PL" w:bidi="pl-PL"/>
    </w:rPr>
  </w:style>
  <w:style w:type="character" w:styleId="Pogrubienie">
    <w:name w:val="Strong"/>
    <w:basedOn w:val="Domylnaczcionkaakapitu"/>
    <w:rPr>
      <w:b/>
      <w:bCs/>
    </w:rPr>
  </w:style>
  <w:style w:type="character" w:customStyle="1" w:styleId="text1">
    <w:name w:val="text1"/>
    <w:rPr>
      <w:rFonts w:ascii="Arial" w:hAnsi="Arial" w:cs="Arial"/>
      <w:color w:val="333333"/>
      <w:sz w:val="20"/>
      <w:szCs w:val="20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  <w:bCs w:val="0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b w:val="0"/>
      <w:bCs w:val="0"/>
    </w:rPr>
  </w:style>
  <w:style w:type="character" w:customStyle="1" w:styleId="ListLabel8">
    <w:name w:val="ListLabel 8"/>
    <w:rPr>
      <w:rFonts w:cs="OpenSymbol"/>
    </w:rPr>
  </w:style>
  <w:style w:type="character" w:customStyle="1" w:styleId="ListLabel9">
    <w:name w:val="ListLabel 9"/>
    <w:rPr>
      <w:rFonts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Wingdings"/>
    </w:rPr>
  </w:style>
  <w:style w:type="character" w:customStyle="1" w:styleId="ListLabel12">
    <w:name w:val="ListLabel 12"/>
    <w:rPr>
      <w:b w:val="0"/>
      <w:bCs w:val="0"/>
    </w:rPr>
  </w:style>
  <w:style w:type="character" w:customStyle="1" w:styleId="ListLabel13">
    <w:name w:val="ListLabel 13"/>
    <w:rPr>
      <w:rFonts w:cs="OpenSymbol"/>
    </w:rPr>
  </w:style>
  <w:style w:type="character" w:customStyle="1" w:styleId="ListLabel14">
    <w:name w:val="ListLabel 14"/>
    <w:rPr>
      <w:rFonts w:cs="Symbol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b w:val="0"/>
      <w:bCs w:val="0"/>
    </w:rPr>
  </w:style>
  <w:style w:type="character" w:customStyle="1" w:styleId="ListLabel18">
    <w:name w:val="ListLabel 18"/>
    <w:rPr>
      <w:rFonts w:cs="OpenSymbol"/>
    </w:rPr>
  </w:style>
  <w:style w:type="character" w:customStyle="1" w:styleId="ListLabel19">
    <w:name w:val="ListLabel 19"/>
    <w:rPr>
      <w:rFonts w:cs="Symbol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Wingdings"/>
    </w:rPr>
  </w:style>
  <w:style w:type="character" w:customStyle="1" w:styleId="ListLabel22">
    <w:name w:val="ListLabel 22"/>
    <w:rPr>
      <w:b w:val="0"/>
      <w:bCs w:val="0"/>
    </w:rPr>
  </w:style>
  <w:style w:type="character" w:customStyle="1" w:styleId="ListLabel23">
    <w:name w:val="ListLabel 23"/>
    <w:rPr>
      <w:rFonts w:cs="OpenSymbol"/>
    </w:rPr>
  </w:style>
  <w:style w:type="character" w:customStyle="1" w:styleId="ListLabel24">
    <w:name w:val="ListLabel 24"/>
    <w:rPr>
      <w:rFonts w:cs="Symbol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cs="Wingdings"/>
    </w:rPr>
  </w:style>
  <w:style w:type="character" w:customStyle="1" w:styleId="ListLabel27">
    <w:name w:val="ListLabel 27"/>
    <w:rPr>
      <w:b w:val="0"/>
      <w:bCs w:val="0"/>
    </w:rPr>
  </w:style>
  <w:style w:type="character" w:customStyle="1" w:styleId="ListLabel28">
    <w:name w:val="ListLabel 28"/>
    <w:rPr>
      <w:rFonts w:cs="OpenSymbol"/>
    </w:rPr>
  </w:style>
  <w:style w:type="character" w:customStyle="1" w:styleId="ListLabel29">
    <w:name w:val="ListLabel 29"/>
    <w:rPr>
      <w:rFonts w:cs="Symbol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Wingdings"/>
    </w:rPr>
  </w:style>
  <w:style w:type="character" w:customStyle="1" w:styleId="ListLabel32">
    <w:name w:val="ListLabel 32"/>
    <w:rPr>
      <w:b w:val="0"/>
      <w:bCs w:val="0"/>
    </w:rPr>
  </w:style>
  <w:style w:type="character" w:customStyle="1" w:styleId="ListLabel33">
    <w:name w:val="ListLabel 33"/>
    <w:rPr>
      <w:rFonts w:cs="OpenSymbol"/>
    </w:rPr>
  </w:style>
  <w:style w:type="character" w:customStyle="1" w:styleId="ListLabel34">
    <w:name w:val="ListLabel 34"/>
    <w:rPr>
      <w:rFonts w:cs="Symbol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Wingdings"/>
    </w:rPr>
  </w:style>
  <w:style w:type="character" w:customStyle="1" w:styleId="ListLabel37">
    <w:name w:val="ListLabel 37"/>
    <w:rPr>
      <w:b w:val="0"/>
      <w:bCs w:val="0"/>
    </w:rPr>
  </w:style>
  <w:style w:type="character" w:customStyle="1" w:styleId="ListLabel38">
    <w:name w:val="ListLabel 38"/>
    <w:rPr>
      <w:rFonts w:cs="OpenSymbol"/>
    </w:rPr>
  </w:style>
  <w:style w:type="character" w:customStyle="1" w:styleId="ListLabel39">
    <w:name w:val="ListLabel 39"/>
    <w:rPr>
      <w:rFonts w:cs="Symbol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Wingdings"/>
    </w:rPr>
  </w:style>
  <w:style w:type="character" w:customStyle="1" w:styleId="ListLabel42">
    <w:name w:val="ListLabel 42"/>
    <w:rPr>
      <w:b w:val="0"/>
      <w:bCs w:val="0"/>
    </w:rPr>
  </w:style>
  <w:style w:type="character" w:customStyle="1" w:styleId="ListLabel43">
    <w:name w:val="ListLabel 43"/>
    <w:rPr>
      <w:rFonts w:cs="OpenSymbol"/>
    </w:rPr>
  </w:style>
  <w:style w:type="character" w:customStyle="1" w:styleId="ListLabel44">
    <w:name w:val="ListLabel 44"/>
    <w:rPr>
      <w:rFonts w:cs="Symbol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Wingdings"/>
    </w:rPr>
  </w:style>
  <w:style w:type="character" w:customStyle="1" w:styleId="ListLabel47">
    <w:name w:val="ListLabel 47"/>
    <w:rPr>
      <w:b w:val="0"/>
      <w:bCs w:val="0"/>
    </w:rPr>
  </w:style>
  <w:style w:type="character" w:customStyle="1" w:styleId="ListLabel48">
    <w:name w:val="ListLabel 48"/>
    <w:rPr>
      <w:rFonts w:cs="OpenSymbol"/>
    </w:rPr>
  </w:style>
  <w:style w:type="character" w:customStyle="1" w:styleId="ListLabel49">
    <w:name w:val="ListLabel 49"/>
    <w:rPr>
      <w:rFonts w:cs="Symbol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Wingdings"/>
    </w:rPr>
  </w:style>
  <w:style w:type="character" w:customStyle="1" w:styleId="ListLabel52">
    <w:name w:val="ListLabel 52"/>
    <w:rPr>
      <w:b w:val="0"/>
      <w:bCs w:val="0"/>
    </w:rPr>
  </w:style>
  <w:style w:type="character" w:customStyle="1" w:styleId="ListLabel53">
    <w:name w:val="ListLabel 53"/>
    <w:rPr>
      <w:rFonts w:cs="OpenSymbol"/>
    </w:rPr>
  </w:style>
  <w:style w:type="character" w:customStyle="1" w:styleId="ListLabel54">
    <w:name w:val="ListLabel 54"/>
    <w:rPr>
      <w:rFonts w:cs="Symbol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Wingdings"/>
    </w:rPr>
  </w:style>
  <w:style w:type="character" w:customStyle="1" w:styleId="ListLabel57">
    <w:name w:val="ListLabel 57"/>
    <w:rPr>
      <w:b w:val="0"/>
      <w:bCs w:val="0"/>
    </w:rPr>
  </w:style>
  <w:style w:type="character" w:customStyle="1" w:styleId="ListLabel58">
    <w:name w:val="ListLabel 58"/>
    <w:rPr>
      <w:rFonts w:cs="OpenSymbol"/>
    </w:rPr>
  </w:style>
  <w:style w:type="character" w:customStyle="1" w:styleId="ListLabel59">
    <w:name w:val="ListLabel 59"/>
    <w:rPr>
      <w:rFonts w:cs="Symbol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Wingdings"/>
    </w:rPr>
  </w:style>
  <w:style w:type="character" w:customStyle="1" w:styleId="ListLabel62">
    <w:name w:val="ListLabel 62"/>
    <w:rPr>
      <w:b w:val="0"/>
      <w:bCs w:val="0"/>
    </w:rPr>
  </w:style>
  <w:style w:type="character" w:customStyle="1" w:styleId="ListLabel63">
    <w:name w:val="ListLabel 63"/>
    <w:rPr>
      <w:rFonts w:cs="OpenSymbol"/>
    </w:rPr>
  </w:style>
  <w:style w:type="character" w:customStyle="1" w:styleId="ListLabel64">
    <w:name w:val="ListLabel 64"/>
    <w:rPr>
      <w:rFonts w:cs="Symbol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  <w:rPr>
      <w:rFonts w:cs="Wingdings"/>
    </w:rPr>
  </w:style>
  <w:style w:type="character" w:customStyle="1" w:styleId="ListLabel67">
    <w:name w:val="ListLabel 67"/>
    <w:rPr>
      <w:b w:val="0"/>
      <w:bCs w:val="0"/>
    </w:rPr>
  </w:style>
  <w:style w:type="character" w:customStyle="1" w:styleId="ListLabel68">
    <w:name w:val="ListLabel 68"/>
    <w:rPr>
      <w:rFonts w:cs="OpenSymbol"/>
    </w:rPr>
  </w:style>
  <w:style w:type="character" w:customStyle="1" w:styleId="ListLabel69">
    <w:name w:val="ListLabel 69"/>
    <w:rPr>
      <w:rFonts w:cs="Symbol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Wingdings"/>
    </w:rPr>
  </w:style>
  <w:style w:type="character" w:customStyle="1" w:styleId="ListLabel72">
    <w:name w:val="ListLabel 72"/>
    <w:rPr>
      <w:b w:val="0"/>
      <w:bCs w:val="0"/>
    </w:rPr>
  </w:style>
  <w:style w:type="character" w:customStyle="1" w:styleId="ListLabel73">
    <w:name w:val="ListLabel 73"/>
    <w:rPr>
      <w:rFonts w:cs="OpenSymbol"/>
    </w:rPr>
  </w:style>
  <w:style w:type="character" w:customStyle="1" w:styleId="ListLabel74">
    <w:name w:val="ListLabel 74"/>
    <w:rPr>
      <w:rFonts w:cs="Symbol"/>
    </w:rPr>
  </w:style>
  <w:style w:type="character" w:customStyle="1" w:styleId="ListLabel75">
    <w:name w:val="ListLabel 75"/>
    <w:rPr>
      <w:rFonts w:cs="Courier New"/>
    </w:rPr>
  </w:style>
  <w:style w:type="character" w:customStyle="1" w:styleId="ListLabel76">
    <w:name w:val="ListLabel 76"/>
    <w:rPr>
      <w:rFonts w:cs="Wingdings"/>
    </w:rPr>
  </w:style>
  <w:style w:type="character" w:customStyle="1" w:styleId="ListLabel77">
    <w:name w:val="ListLabel 77"/>
    <w:rPr>
      <w:b w:val="0"/>
      <w:bCs w:val="0"/>
    </w:rPr>
  </w:style>
  <w:style w:type="character" w:customStyle="1" w:styleId="ListLabel78">
    <w:name w:val="ListLabel 78"/>
    <w:rPr>
      <w:rFonts w:cs="OpenSymbol"/>
    </w:rPr>
  </w:style>
  <w:style w:type="character" w:customStyle="1" w:styleId="ListLabel79">
    <w:name w:val="ListLabel 79"/>
    <w:rPr>
      <w:rFonts w:cs="Symbol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cs="Wingdings"/>
    </w:rPr>
  </w:style>
  <w:style w:type="character" w:customStyle="1" w:styleId="ListLabel82">
    <w:name w:val="ListLabel 82"/>
    <w:rPr>
      <w:b w:val="0"/>
      <w:bCs w:val="0"/>
    </w:rPr>
  </w:style>
  <w:style w:type="character" w:customStyle="1" w:styleId="ListLabel83">
    <w:name w:val="ListLabel 83"/>
    <w:rPr>
      <w:rFonts w:cs="OpenSymbol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Wingdings"/>
    </w:rPr>
  </w:style>
  <w:style w:type="character" w:customStyle="1" w:styleId="ListLabel87">
    <w:name w:val="ListLabel 87"/>
    <w:rPr>
      <w:b w:val="0"/>
      <w:bCs w:val="0"/>
    </w:rPr>
  </w:style>
  <w:style w:type="character" w:customStyle="1" w:styleId="ListLabel88">
    <w:name w:val="ListLabel 88"/>
    <w:rPr>
      <w:rFonts w:cs="OpenSymbol"/>
    </w:rPr>
  </w:style>
  <w:style w:type="character" w:customStyle="1" w:styleId="ListLabel89">
    <w:name w:val="ListLabel 89"/>
    <w:rPr>
      <w:rFonts w:cs="Symbol"/>
    </w:rPr>
  </w:style>
  <w:style w:type="character" w:customStyle="1" w:styleId="ListLabel90">
    <w:name w:val="ListLabel 90"/>
    <w:rPr>
      <w:rFonts w:cs="Courier New"/>
    </w:rPr>
  </w:style>
  <w:style w:type="character" w:customStyle="1" w:styleId="ListLabel91">
    <w:name w:val="ListLabel 91"/>
    <w:rPr>
      <w:rFonts w:cs="Wingdings"/>
    </w:rPr>
  </w:style>
  <w:style w:type="character" w:customStyle="1" w:styleId="ListLabel92">
    <w:name w:val="ListLabel 92"/>
    <w:rPr>
      <w:b w:val="0"/>
      <w:bCs w:val="0"/>
    </w:rPr>
  </w:style>
  <w:style w:type="character" w:customStyle="1" w:styleId="ListLabel93">
    <w:name w:val="ListLabel 93"/>
    <w:rPr>
      <w:rFonts w:cs="OpenSymbol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NumberingSymbols">
    <w:name w:val="Numbering Symbols"/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8Num12">
    <w:name w:val="WW8Num12"/>
    <w:basedOn w:val="Bezlisty"/>
    <w:pPr>
      <w:numPr>
        <w:numId w:val="2"/>
      </w:numPr>
    </w:pPr>
  </w:style>
  <w:style w:type="numbering" w:customStyle="1" w:styleId="WWNum1">
    <w:name w:val="WWNum1"/>
    <w:basedOn w:val="Bezlisty"/>
    <w:pPr>
      <w:numPr>
        <w:numId w:val="3"/>
      </w:numPr>
    </w:pPr>
  </w:style>
  <w:style w:type="numbering" w:customStyle="1" w:styleId="WWNum2">
    <w:name w:val="WWNum2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5">
    <w:name w:val="WWNum5"/>
    <w:basedOn w:val="Bezlisty"/>
    <w:pPr>
      <w:numPr>
        <w:numId w:val="7"/>
      </w:numPr>
    </w:pPr>
  </w:style>
  <w:style w:type="numbering" w:customStyle="1" w:styleId="WWNum6">
    <w:name w:val="WWNum6"/>
    <w:basedOn w:val="Bezlisty"/>
    <w:pPr>
      <w:numPr>
        <w:numId w:val="8"/>
      </w:numPr>
    </w:pPr>
  </w:style>
  <w:style w:type="numbering" w:customStyle="1" w:styleId="WWNum7">
    <w:name w:val="WWNum7"/>
    <w:basedOn w:val="Bezlisty"/>
    <w:pPr>
      <w:numPr>
        <w:numId w:val="9"/>
      </w:numPr>
    </w:pPr>
  </w:style>
  <w:style w:type="numbering" w:customStyle="1" w:styleId="WWNum8">
    <w:name w:val="WWNum8"/>
    <w:basedOn w:val="Bezlisty"/>
    <w:pPr>
      <w:numPr>
        <w:numId w:val="10"/>
      </w:numPr>
    </w:pPr>
  </w:style>
  <w:style w:type="numbering" w:customStyle="1" w:styleId="WWNum9">
    <w:name w:val="WWNum9"/>
    <w:basedOn w:val="Bezlisty"/>
    <w:pPr>
      <w:numPr>
        <w:numId w:val="11"/>
      </w:numPr>
    </w:pPr>
  </w:style>
  <w:style w:type="numbering" w:customStyle="1" w:styleId="WWNum10">
    <w:name w:val="WWNum10"/>
    <w:basedOn w:val="Bezlisty"/>
    <w:pPr>
      <w:numPr>
        <w:numId w:val="12"/>
      </w:numPr>
    </w:pPr>
  </w:style>
  <w:style w:type="numbering" w:customStyle="1" w:styleId="WWNum11">
    <w:name w:val="WWNum11"/>
    <w:basedOn w:val="Bezlisty"/>
    <w:pPr>
      <w:numPr>
        <w:numId w:val="13"/>
      </w:numPr>
    </w:pPr>
  </w:style>
  <w:style w:type="numbering" w:customStyle="1" w:styleId="WW8Num2">
    <w:name w:val="WW8Num2"/>
    <w:basedOn w:val="Bezlisty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5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1065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Zadroga</dc:creator>
  <cp:lastModifiedBy>Anna Hajnysz</cp:lastModifiedBy>
  <cp:revision>20</cp:revision>
  <cp:lastPrinted>2026-04-20T08:51:00Z</cp:lastPrinted>
  <dcterms:created xsi:type="dcterms:W3CDTF">2024-02-01T07:36:00Z</dcterms:created>
  <dcterms:modified xsi:type="dcterms:W3CDTF">2026-04-20T08:51:00Z</dcterms:modified>
</cp:coreProperties>
</file>